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highlight w:val="none"/>
        </w:rPr>
      </w:pPr>
      <w:bookmarkStart w:id="21" w:name="_GoBack"/>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lang w:eastAsia="zh-CN"/>
        </w:rPr>
        <w:t>福建省建阳监狱</w:t>
      </w:r>
      <w:r>
        <w:rPr>
          <w:rFonts w:hint="eastAsia" w:ascii="宋体" w:hAnsi="宋体"/>
          <w:b/>
          <w:sz w:val="72"/>
          <w:szCs w:val="72"/>
          <w:highlight w:val="none"/>
        </w:rPr>
        <w:t xml:space="preserve"> </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FJKZB-683092023</w:t>
      </w:r>
    </w:p>
    <w:p>
      <w:pPr>
        <w:pStyle w:val="11"/>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监内生活垃圾清运服务项目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采购人：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spacing w:line="500" w:lineRule="exact"/>
        <w:rPr>
          <w:rFonts w:ascii="宋体" w:hAnsi="宋体"/>
          <w:b/>
          <w:sz w:val="48"/>
          <w:highlight w:val="none"/>
        </w:rPr>
      </w:pPr>
    </w:p>
    <w:p>
      <w:pPr>
        <w:pStyle w:val="7"/>
        <w:rPr>
          <w:rFonts w:hint="default"/>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w:t>
      </w:r>
      <w:r>
        <w:rPr>
          <w:rFonts w:hint="eastAsia" w:ascii="宋体" w:hAnsi="宋体"/>
          <w:b/>
          <w:sz w:val="32"/>
          <w:szCs w:val="32"/>
          <w:highlight w:val="none"/>
        </w:rPr>
        <w:t>月</w:t>
      </w:r>
    </w:p>
    <w:p>
      <w:pPr>
        <w:pStyle w:val="3"/>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lang w:eastAsia="zh-CN"/>
        </w:rPr>
        <w:t>福建省建阳监狱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lang w:eastAsia="zh-CN"/>
        </w:rPr>
        <w:t>监内生活垃圾清运服务项目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b/>
          <w:bCs/>
          <w:kern w:val="0"/>
          <w:sz w:val="24"/>
          <w:highlight w:val="none"/>
          <w:lang w:eastAsia="zh-CN"/>
        </w:rPr>
        <w:t>FJKZB-683092023</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2.项目名称：</w:t>
      </w:r>
      <w:r>
        <w:rPr>
          <w:rFonts w:hint="eastAsia" w:ascii="宋体" w:hAnsi="宋体" w:cs="宋体"/>
          <w:b/>
          <w:bCs/>
          <w:kern w:val="0"/>
          <w:sz w:val="24"/>
          <w:highlight w:val="none"/>
          <w:lang w:eastAsia="zh-CN"/>
        </w:rPr>
        <w:t>监内生活垃圾清运服务项目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w:t>
      </w:r>
      <w:r>
        <w:rPr>
          <w:rFonts w:hint="eastAsia" w:ascii="宋体" w:hAnsi="宋体"/>
          <w:b/>
          <w:sz w:val="24"/>
          <w:highlight w:val="none"/>
        </w:rPr>
        <w:t>二章 网上竞价内容及要求”</w:t>
      </w:r>
      <w:r>
        <w:rPr>
          <w:rFonts w:hint="eastAsia" w:ascii="宋体" w:hAnsi="宋体" w:cs="宋体"/>
          <w:b/>
          <w:kern w:val="0"/>
          <w:sz w:val="24"/>
          <w:highlight w:val="none"/>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2" w:firstLineChars="200"/>
        <w:rPr>
          <w:rFonts w:ascii="宋体" w:hAnsi="宋体"/>
          <w:b/>
          <w:bCs/>
          <w:sz w:val="24"/>
          <w:highlight w:val="none"/>
        </w:rPr>
      </w:pPr>
      <w:bookmarkStart w:id="0" w:name="_Toc21403"/>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w:t>
      </w:r>
      <w:r>
        <w:rPr>
          <w:rFonts w:hint="eastAsia" w:ascii="宋体" w:hAnsi="宋体"/>
          <w:color w:val="000000"/>
          <w:sz w:val="24"/>
          <w:highlight w:val="none"/>
        </w:rPr>
        <w:t>他组织</w:t>
      </w:r>
      <w:r>
        <w:rPr>
          <w:rFonts w:hint="eastAsia" w:ascii="新宋体" w:hAnsi="新宋体" w:eastAsia="新宋体"/>
          <w:sz w:val="24"/>
          <w:highlight w:val="none"/>
        </w:rPr>
        <w:t>均可能成为合格的供应商；</w:t>
      </w:r>
    </w:p>
    <w:p>
      <w:pPr>
        <w:pStyle w:val="26"/>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hd w:val="clear" w:color="auto" w:fill="FFFFFF"/>
        <w:spacing w:line="360" w:lineRule="auto"/>
        <w:ind w:firstLine="480" w:firstLineChars="200"/>
        <w:jc w:val="left"/>
        <w:rPr>
          <w:rStyle w:val="27"/>
          <w:highlight w:val="none"/>
        </w:rPr>
      </w:pPr>
      <w:r>
        <w:rPr>
          <w:rStyle w:val="27"/>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color w:val="000000"/>
          <w:sz w:val="24"/>
          <w:highlight w:val="none"/>
        </w:rPr>
        <w:t>6.网上竞价文件售价</w:t>
      </w:r>
    </w:p>
    <w:p>
      <w:pPr>
        <w:widowControl/>
        <w:spacing w:line="360" w:lineRule="auto"/>
        <w:ind w:firstLine="480" w:firstLineChars="200"/>
        <w:jc w:val="left"/>
        <w:rPr>
          <w:highlight w:val="none"/>
        </w:rPr>
      </w:pPr>
      <w:r>
        <w:rPr>
          <w:rFonts w:hint="eastAsia" w:ascii="宋体" w:hAnsi="宋体"/>
          <w:bCs/>
          <w:color w:val="000000"/>
          <w:sz w:val="24"/>
          <w:highlight w:val="none"/>
        </w:rPr>
        <w:t>网上竞价文件售价0元</w:t>
      </w:r>
      <w:r>
        <w:rPr>
          <w:rFonts w:hint="eastAsia" w:ascii="宋体" w:hAnsi="宋体"/>
          <w:bCs/>
          <w:sz w:val="24"/>
          <w:highlight w:val="none"/>
        </w:rPr>
        <w:t>，在报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w:t>
      </w:r>
      <w:r>
        <w:rPr>
          <w:rFonts w:hint="eastAsia" w:ascii="宋体" w:hAnsi="宋体" w:cs="宋体"/>
          <w:sz w:val="24"/>
          <w:highlight w:val="none"/>
          <w:lang w:val="en-US" w:eastAsia="zh-CN"/>
        </w:rPr>
        <w:t>36</w:t>
      </w:r>
      <w:r>
        <w:rPr>
          <w:rFonts w:hint="eastAsia" w:ascii="宋体" w:hAnsi="宋体" w:cs="宋体"/>
          <w:sz w:val="24"/>
          <w:highlight w:val="none"/>
        </w:rPr>
        <w:t>00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left="420" w:leftChars="200"/>
        <w:rPr>
          <w:rFonts w:ascii="宋体" w:hAnsi="宋体" w:cs="宋体"/>
          <w:sz w:val="24"/>
          <w:highlight w:val="none"/>
        </w:rPr>
      </w:pPr>
      <w:r>
        <w:rPr>
          <w:rFonts w:hint="eastAsia" w:ascii="宋体" w:hAnsi="宋体" w:cs="宋体"/>
          <w:sz w:val="24"/>
          <w:highlight w:val="none"/>
        </w:rPr>
        <w:t>9.代理服务费：按成交金额的差额定率累进法计算后，</w:t>
      </w:r>
      <w:r>
        <w:rPr>
          <w:rFonts w:hint="eastAsia" w:ascii="宋体" w:hAnsi="宋体" w:cs="宋体"/>
          <w:sz w:val="24"/>
          <w:highlight w:val="none"/>
          <w:lang w:eastAsia="zh-CN"/>
        </w:rPr>
        <w:t>成交供应商</w:t>
      </w:r>
      <w:r>
        <w:rPr>
          <w:rFonts w:hint="eastAsia" w:ascii="宋体" w:hAnsi="宋体" w:cs="宋体"/>
          <w:sz w:val="24"/>
          <w:highlight w:val="none"/>
        </w:rPr>
        <w:t>收取。</w:t>
      </w:r>
      <w:r>
        <w:rPr>
          <w:rFonts w:hint="eastAsia" w:ascii="宋体" w:hAnsi="宋体" w:cs="宋体"/>
          <w:sz w:val="24"/>
          <w:highlight w:val="none"/>
          <w:lang w:eastAsia="zh-CN"/>
        </w:rPr>
        <w:t>成交供应商</w:t>
      </w:r>
      <w:r>
        <w:rPr>
          <w:rFonts w:hint="eastAsia" w:ascii="宋体" w:hAnsi="宋体" w:cs="宋体"/>
          <w:sz w:val="24"/>
          <w:highlight w:val="none"/>
        </w:rPr>
        <w:t>应在领取成交通知书的同时以现金、</w:t>
      </w:r>
      <w:r>
        <w:rPr>
          <w:rFonts w:hint="eastAsia" w:ascii="宋体" w:hAnsi="宋体" w:cs="宋体"/>
          <w:sz w:val="24"/>
          <w:highlight w:val="none"/>
          <w:lang w:eastAsia="zh-CN"/>
        </w:rPr>
        <w:t>转账</w:t>
      </w:r>
      <w:r>
        <w:rPr>
          <w:rFonts w:hint="eastAsia" w:ascii="宋体" w:hAnsi="宋体" w:cs="宋体"/>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福建省建阳监狱</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地  址：</w:t>
      </w:r>
      <w:r>
        <w:rPr>
          <w:rFonts w:hint="eastAsia" w:asciiTheme="minorEastAsia" w:hAnsiTheme="minorEastAsia" w:eastAsiaTheme="minorEastAsia" w:cstheme="minorEastAsia"/>
          <w:sz w:val="24"/>
          <w:szCs w:val="24"/>
          <w:highlight w:val="none"/>
        </w:rPr>
        <w:t>福建省建阳市童游曼头山7号　</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sz w:val="24"/>
          <w:highlight w:val="none"/>
        </w:rPr>
        <w:t>联</w:t>
      </w:r>
      <w:r>
        <w:rPr>
          <w:rFonts w:hint="eastAsia" w:ascii="宋体" w:hAnsi="宋体" w:cs="宋体"/>
          <w:sz w:val="24"/>
          <w:highlight w:val="none"/>
        </w:rPr>
        <w:t>系人及电话：</w:t>
      </w:r>
      <w:r>
        <w:rPr>
          <w:rFonts w:hint="eastAsia" w:ascii="宋体" w:hAnsi="宋体" w:cs="宋体"/>
          <w:sz w:val="24"/>
          <w:highlight w:val="none"/>
          <w:lang w:eastAsia="zh-CN"/>
        </w:rPr>
        <w:t>周</w:t>
      </w:r>
      <w:r>
        <w:rPr>
          <w:rFonts w:hint="eastAsia" w:ascii="宋体" w:hAnsi="宋体" w:cs="宋体"/>
          <w:sz w:val="24"/>
          <w:highlight w:val="none"/>
        </w:rPr>
        <w:t xml:space="preserve">警官  </w:t>
      </w:r>
      <w:r>
        <w:rPr>
          <w:rFonts w:hint="eastAsia" w:ascii="宋体" w:hAnsi="宋体" w:cs="宋体"/>
          <w:sz w:val="24"/>
          <w:highlight w:val="none"/>
          <w:lang w:val="en-US" w:eastAsia="zh-CN"/>
        </w:rPr>
        <w:t xml:space="preserve">0599-8071038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2"/>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pPr>
        <w:widowControl/>
        <w:spacing w:line="360" w:lineRule="auto"/>
        <w:ind w:firstLine="480" w:firstLineChars="200"/>
        <w:jc w:val="left"/>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27"/>
          <w:rFonts w:hint="eastAsia" w:ascii="宋体" w:hAnsi="宋体" w:cs="宋体"/>
          <w:color w:val="auto"/>
          <w:kern w:val="0"/>
          <w:sz w:val="24"/>
          <w:highlight w:val="none"/>
        </w:rPr>
        <w:t>）上进行注册、报名（上传响应文件）、网上竞价等相关操作，具体操作指南详见网上竞价平台（网址：</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"https://www.jiankunzx.com/index.php?m=home&amp;c=View&amp;a=index&amp;aid=1503" </w:instrText>
      </w:r>
      <w:r>
        <w:rPr>
          <w:rFonts w:ascii="宋体" w:hAnsi="宋体" w:eastAsia="宋体" w:cs="宋体"/>
          <w:color w:val="auto"/>
          <w:sz w:val="24"/>
          <w:szCs w:val="24"/>
          <w:highlight w:val="none"/>
        </w:rPr>
        <w:fldChar w:fldCharType="separate"/>
      </w:r>
      <w:r>
        <w:rPr>
          <w:rStyle w:val="24"/>
          <w:rFonts w:ascii="宋体" w:hAnsi="宋体" w:eastAsia="宋体" w:cs="宋体"/>
          <w:color w:val="auto"/>
          <w:sz w:val="24"/>
          <w:szCs w:val="24"/>
          <w:highlight w:val="none"/>
        </w:rPr>
        <w:t>https://www.jiankunzx.com/index.php?m=home&amp;c=View&amp;a=index&amp;aid=1503</w:t>
      </w:r>
      <w:r>
        <w:rPr>
          <w:rFonts w:ascii="宋体" w:hAnsi="宋体" w:eastAsia="宋体" w:cs="宋体"/>
          <w:color w:val="auto"/>
          <w:sz w:val="24"/>
          <w:szCs w:val="24"/>
          <w:highlight w:val="none"/>
        </w:rPr>
        <w:fldChar w:fldCharType="end"/>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pPr>
        <w:pStyle w:val="16"/>
        <w:spacing w:before="75" w:beforeAutospacing="0" w:after="75" w:afterAutospacing="0" w:line="360" w:lineRule="auto"/>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，否则</w:t>
      </w:r>
      <w:r>
        <w:rPr>
          <w:rStyle w:val="27"/>
          <w:rFonts w:ascii="宋体" w:hAnsi="宋体" w:cs="宋体"/>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7"/>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8016816"/>
      <w:bookmarkStart w:id="2" w:name="_Toc359317661"/>
      <w:bookmarkStart w:id="3" w:name="_Toc346300367"/>
      <w:bookmarkStart w:id="4" w:name="_Toc347060296"/>
      <w:bookmarkStart w:id="5" w:name="_Toc327948617"/>
      <w:bookmarkStart w:id="6" w:name="_Toc330567034"/>
      <w:r>
        <w:rPr>
          <w:rFonts w:hint="eastAsia" w:ascii="宋体" w:hAnsi="宋体" w:cs="宋体"/>
          <w:b/>
          <w:sz w:val="24"/>
          <w:highlight w:val="none"/>
        </w:rPr>
        <w:t>一、项目概述</w:t>
      </w:r>
      <w:bookmarkEnd w:id="1"/>
      <w:bookmarkEnd w:id="2"/>
    </w:p>
    <w:p>
      <w:pPr>
        <w:pStyle w:val="29"/>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kern w:val="0"/>
                <w:sz w:val="24"/>
                <w:szCs w:val="22"/>
                <w:highlight w:val="none"/>
              </w:rPr>
            </w:pPr>
            <w:r>
              <w:rPr>
                <w:rFonts w:hint="eastAsia" w:ascii="宋体" w:hAnsi="宋体"/>
                <w:b/>
                <w:bCs/>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建阳监狱监区内生活垃圾清运服务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highlight w:val="none"/>
                <w:lang w:val="en-US" w:eastAsia="zh-CN"/>
              </w:rPr>
            </w:pPr>
            <w:r>
              <w:rPr>
                <w:rFonts w:hint="eastAsia" w:ascii="宋体" w:hAnsi="宋体" w:cs="新宋体"/>
                <w:kern w:val="0"/>
                <w:sz w:val="24"/>
                <w:highlight w:val="none"/>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eastAsia="zh-CN"/>
              </w:rPr>
              <w:t>叁拾陆万元整</w:t>
            </w:r>
            <w:r>
              <w:rPr>
                <w:rFonts w:hint="eastAsia" w:ascii="宋体" w:hAnsi="宋体"/>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360000.00</w:t>
            </w:r>
            <w:r>
              <w:rPr>
                <w:rFonts w:hint="eastAsia" w:ascii="宋体" w:hAnsi="宋体" w:cs="新宋体"/>
                <w:kern w:val="0"/>
                <w:sz w:val="24"/>
                <w:highlight w:val="none"/>
              </w:rPr>
              <w:t xml:space="preserve">   </w:t>
            </w:r>
          </w:p>
        </w:tc>
      </w:tr>
    </w:tbl>
    <w:p>
      <w:pPr>
        <w:pStyle w:val="6"/>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6"/>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w:t>
      </w:r>
      <w:r>
        <w:rPr>
          <w:rFonts w:hint="eastAsia" w:cs="宋体"/>
          <w:b w:val="0"/>
          <w:bCs/>
          <w:sz w:val="24"/>
          <w:highlight w:val="none"/>
          <w:lang w:eastAsia="zh-CN"/>
        </w:rPr>
        <w:t>监内生活垃圾清运服务项目</w:t>
      </w:r>
      <w:r>
        <w:rPr>
          <w:rFonts w:hint="eastAsia" w:cs="宋体"/>
          <w:b w:val="0"/>
          <w:bCs/>
          <w:sz w:val="24"/>
          <w:highlight w:val="none"/>
        </w:rPr>
        <w:t>，预算金额</w:t>
      </w:r>
      <w:r>
        <w:rPr>
          <w:rFonts w:hint="eastAsia" w:cs="宋体"/>
          <w:b w:val="0"/>
          <w:bCs/>
          <w:sz w:val="24"/>
          <w:highlight w:val="none"/>
          <w:lang w:val="en-US" w:eastAsia="zh-CN"/>
        </w:rPr>
        <w:t>36</w:t>
      </w:r>
      <w:r>
        <w:rPr>
          <w:rFonts w:hint="eastAsia" w:cs="宋体"/>
          <w:b w:val="0"/>
          <w:bCs/>
          <w:sz w:val="24"/>
          <w:highlight w:val="none"/>
        </w:rPr>
        <w:t>万元。要求供应商根据本网上竞价文件提出的技术要求对所需技术服务等进行报价。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w:t>
      </w:r>
      <w:r>
        <w:rPr>
          <w:rFonts w:hint="eastAsia" w:ascii="宋体" w:hAnsi="宋体" w:cs="宋体"/>
          <w:sz w:val="24"/>
          <w:highlight w:val="none"/>
          <w:lang w:eastAsia="zh-CN"/>
        </w:rPr>
        <w:t>的服务</w:t>
      </w:r>
      <w:r>
        <w:rPr>
          <w:rFonts w:hint="eastAsia" w:ascii="宋体" w:hAnsi="宋体" w:cs="宋体"/>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.报价说明</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.1.各供应商响应报价不得超过总价</w:t>
      </w:r>
      <w:r>
        <w:rPr>
          <w:rFonts w:hint="eastAsia" w:ascii="宋体" w:hAnsi="宋体" w:cs="宋体"/>
          <w:sz w:val="24"/>
          <w:highlight w:val="none"/>
        </w:rPr>
        <w:t>最高限价，</w:t>
      </w:r>
      <w:r>
        <w:rPr>
          <w:rFonts w:hint="eastAsia" w:ascii="宋体" w:hAnsi="宋体" w:cs="宋体"/>
          <w:kern w:val="0"/>
          <w:sz w:val="24"/>
          <w:highlight w:val="none"/>
        </w:rPr>
        <w:t>须在其响应文件中提供报价分项报价表并详细列明分项内容。</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供应商应以包括有关本项目的所有费用进行报价，应包括但不限于项目执行所应配运输、税收、装运、核定数量垃圾桶、垃圾处理费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eastAsia="zh-CN"/>
        </w:rPr>
        <w:t>供应商</w:t>
      </w:r>
      <w:r>
        <w:rPr>
          <w:rFonts w:hint="eastAsia" w:ascii="宋体" w:hAnsi="宋体" w:cs="宋体"/>
          <w:b w:val="0"/>
          <w:bCs w:val="0"/>
          <w:kern w:val="0"/>
          <w:sz w:val="24"/>
          <w:szCs w:val="24"/>
          <w:highlight w:val="none"/>
          <w:lang w:eastAsia="zh-CN"/>
        </w:rPr>
        <w:t>须在响应文件中提供</w:t>
      </w:r>
      <w:r>
        <w:rPr>
          <w:rFonts w:hint="eastAsia" w:ascii="宋体" w:hAnsi="宋体" w:eastAsia="宋体" w:cs="宋体"/>
          <w:b w:val="0"/>
          <w:bCs w:val="0"/>
          <w:kern w:val="0"/>
          <w:sz w:val="24"/>
          <w:szCs w:val="24"/>
          <w:highlight w:val="none"/>
        </w:rPr>
        <w:t>具有行政主管部门颁发的《城市生活垃圾经营性清扫、收集、运输服务许可证》</w:t>
      </w:r>
      <w:r>
        <w:rPr>
          <w:rFonts w:hint="eastAsia" w:ascii="宋体" w:hAnsi="宋体" w:cs="宋体"/>
          <w:b w:val="0"/>
          <w:bCs w:val="0"/>
          <w:kern w:val="0"/>
          <w:sz w:val="24"/>
          <w:szCs w:val="24"/>
          <w:highlight w:val="none"/>
          <w:lang w:eastAsia="zh-CN"/>
        </w:rPr>
        <w:t>，</w:t>
      </w:r>
      <w:r>
        <w:rPr>
          <w:rFonts w:hint="eastAsia" w:ascii="宋体" w:hAnsi="宋体" w:cs="宋体"/>
          <w:b/>
          <w:bCs/>
          <w:kern w:val="0"/>
          <w:sz w:val="24"/>
          <w:szCs w:val="24"/>
          <w:highlight w:val="none"/>
          <w:lang w:eastAsia="zh-CN"/>
        </w:rPr>
        <w:t>未提供的按无效响应处理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供应商</w:t>
      </w:r>
      <w:r>
        <w:rPr>
          <w:rFonts w:hint="eastAsia" w:ascii="宋体" w:hAnsi="宋体" w:eastAsia="宋体" w:cs="宋体"/>
          <w:b w:val="0"/>
          <w:bCs w:val="0"/>
          <w:kern w:val="0"/>
          <w:sz w:val="24"/>
          <w:szCs w:val="24"/>
          <w:highlight w:val="none"/>
        </w:rPr>
        <w:t>需具有至少2辆自有产权一次性外运5吨以上的生活垃圾压缩车辆以及</w:t>
      </w:r>
      <w:r>
        <w:rPr>
          <w:rFonts w:hint="eastAsia" w:ascii="宋体" w:hAnsi="宋体" w:cs="宋体"/>
          <w:b w:val="0"/>
          <w:bCs w:val="0"/>
          <w:kern w:val="0"/>
          <w:sz w:val="24"/>
          <w:szCs w:val="24"/>
          <w:highlight w:val="none"/>
          <w:lang w:eastAsia="zh-CN"/>
        </w:rPr>
        <w:t>至少</w:t>
      </w:r>
      <w:r>
        <w:rPr>
          <w:rFonts w:hint="eastAsia" w:ascii="宋体" w:hAnsi="宋体" w:eastAsia="宋体" w:cs="宋体"/>
          <w:b w:val="0"/>
          <w:bCs w:val="0"/>
          <w:kern w:val="0"/>
          <w:sz w:val="24"/>
          <w:szCs w:val="24"/>
          <w:highlight w:val="none"/>
        </w:rPr>
        <w:t>1辆运输大件垃圾的货车，提供购买车辆发票复印件、行驶证复印件、登记证复印件（原件备查），以及运输垃圾必备的驾驶员</w:t>
      </w:r>
      <w:r>
        <w:rPr>
          <w:rFonts w:hint="eastAsia" w:ascii="宋体" w:hAnsi="宋体" w:cs="宋体"/>
          <w:b w:val="0"/>
          <w:bCs w:val="0"/>
          <w:kern w:val="0"/>
          <w:sz w:val="24"/>
          <w:szCs w:val="24"/>
          <w:highlight w:val="none"/>
          <w:lang w:eastAsia="zh-CN"/>
        </w:rPr>
        <w:t>的驾驶证复印件，</w:t>
      </w:r>
      <w:r>
        <w:rPr>
          <w:rFonts w:hint="eastAsia" w:ascii="宋体" w:hAnsi="宋体" w:cs="宋体"/>
          <w:b/>
          <w:bCs/>
          <w:kern w:val="0"/>
          <w:sz w:val="24"/>
          <w:szCs w:val="24"/>
          <w:highlight w:val="none"/>
          <w:lang w:eastAsia="zh-CN"/>
        </w:rPr>
        <w:t>须在响应文件中提供上述证明材料，未提供或提供不齐全的按无效响应处理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必须安排足够的工作人员、车辆，保质保量完成采购方的垃圾清运工作,做到生活垃圾每日一清，日产日清（清运时间10：00至13：00），垃圾清运后，对作业现场地面及垃圾桶须冲洗干净并按要求摆放整齐，采购方有清运大件垃圾需求时，电话或书面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在接到通知后，应在4小时内指派车辆、人员进行清运；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4、生活垃圾堆积较多需要临时增加清运服务时，</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提前书面或电话通知，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须配合</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适当增加垃圾清运次数，确保各收集点的垃圾及时清运；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5、</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进场作业前需提供</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75个240升全新垃圾桶和</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75个120升全新垃圾桶，按采购</w:t>
      </w:r>
      <w:r>
        <w:rPr>
          <w:rFonts w:hint="eastAsia" w:ascii="宋体" w:hAnsi="宋体" w:eastAsia="宋体" w:cs="宋体"/>
          <w:b w:val="0"/>
          <w:bCs w:val="0"/>
          <w:kern w:val="0"/>
          <w:sz w:val="24"/>
          <w:szCs w:val="24"/>
          <w:highlight w:val="none"/>
          <w:lang w:eastAsia="zh-CN"/>
        </w:rPr>
        <w:t>人</w:t>
      </w:r>
      <w:r>
        <w:rPr>
          <w:rFonts w:hint="eastAsia" w:ascii="宋体" w:hAnsi="宋体" w:eastAsia="宋体" w:cs="宋体"/>
          <w:b w:val="0"/>
          <w:bCs w:val="0"/>
          <w:kern w:val="0"/>
          <w:sz w:val="24"/>
          <w:szCs w:val="24"/>
          <w:highlight w:val="none"/>
        </w:rPr>
        <w:t>要求做好标识，布置到指定地点。一年后，提供同等规格、数量的全新垃圾桶对在用的垃圾桶进行全部更新，退换下的旧垃圾桶由</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自行处理；</w:t>
      </w: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eastAsia="zh-CN"/>
        </w:rPr>
        <w:t>服务期限</w:t>
      </w:r>
      <w:r>
        <w:rPr>
          <w:rFonts w:hint="eastAsia" w:ascii="宋体" w:hAnsi="宋体" w:cs="宋体"/>
          <w:b/>
          <w:bCs/>
          <w:kern w:val="0"/>
          <w:sz w:val="24"/>
          <w:highlight w:val="none"/>
        </w:rPr>
        <w:t>：合同签订后</w:t>
      </w:r>
      <w:r>
        <w:rPr>
          <w:rFonts w:hint="eastAsia" w:ascii="宋体" w:hAnsi="宋体" w:cs="宋体"/>
          <w:b/>
          <w:bCs/>
          <w:kern w:val="0"/>
          <w:sz w:val="24"/>
          <w:highlight w:val="none"/>
          <w:lang w:val="en-US" w:eastAsia="zh-CN"/>
        </w:rPr>
        <w:t>2年</w:t>
      </w:r>
      <w:r>
        <w:rPr>
          <w:rFonts w:hint="eastAsia" w:ascii="宋体" w:hAnsi="宋体" w:cs="宋体"/>
          <w:b/>
          <w:bCs/>
          <w:kern w:val="0"/>
          <w:sz w:val="24"/>
          <w:highlight w:val="none"/>
        </w:rPr>
        <w:t>。</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3.交付条件：完成各项要求，验收合格。</w:t>
      </w:r>
    </w:p>
    <w:p>
      <w:pPr>
        <w:pStyle w:val="3"/>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%。说明：成交供应商在签订合同前，以转账方式向采购人缴纳合同总金额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w:t>
      </w:r>
      <w:r>
        <w:rPr>
          <w:rFonts w:hint="eastAsia" w:ascii="宋体" w:hAnsi="宋体" w:cs="宋体"/>
          <w:b/>
          <w:bCs/>
          <w:kern w:val="0"/>
          <w:sz w:val="24"/>
          <w:highlight w:val="none"/>
        </w:rPr>
        <w:t>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5.验收方式：按照国家相关标准、行业标准及网上竞价文件及合同要求执行。</w:t>
      </w:r>
    </w:p>
    <w:p>
      <w:pPr>
        <w:widowControl/>
        <w:tabs>
          <w:tab w:val="left" w:pos="900"/>
          <w:tab w:val="left" w:pos="1100"/>
        </w:tabs>
        <w:spacing w:line="360" w:lineRule="auto"/>
        <w:ind w:firstLine="482" w:firstLineChars="200"/>
        <w:jc w:val="left"/>
        <w:textAlignment w:val="baseline"/>
        <w:rPr>
          <w:rFonts w:hint="default"/>
          <w:highlight w:val="none"/>
          <w:lang w:val="en-US" w:eastAsia="zh-CN"/>
        </w:rPr>
      </w:pPr>
      <w:r>
        <w:rPr>
          <w:rFonts w:hint="eastAsia" w:ascii="宋体" w:hAnsi="宋体" w:cs="宋体"/>
          <w:b/>
          <w:bCs/>
          <w:sz w:val="24"/>
          <w:highlight w:val="none"/>
        </w:rPr>
        <w:t>6.支付方式：</w:t>
      </w:r>
      <w:r>
        <w:rPr>
          <w:rFonts w:hint="eastAsia" w:ascii="宋体" w:hAnsi="宋体" w:cs="宋体"/>
          <w:b/>
          <w:bCs/>
          <w:sz w:val="24"/>
          <w:highlight w:val="none"/>
        </w:rPr>
        <w:t>按</w:t>
      </w:r>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.违约责任：</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w:t>
      </w:r>
      <w:r>
        <w:rPr>
          <w:rFonts w:hint="eastAsia"/>
          <w:b w:val="0"/>
          <w:bCs w:val="0"/>
          <w:highlight w:val="none"/>
        </w:rPr>
        <w:t>需向采购人支付违约金</w:t>
      </w:r>
      <w:r>
        <w:rPr>
          <w:rFonts w:hint="eastAsia"/>
          <w:b w:val="0"/>
          <w:bCs w:val="0"/>
          <w:highlight w:val="none"/>
          <w:lang w:val="en-US" w:eastAsia="zh-CN"/>
        </w:rPr>
        <w:t>1000</w:t>
      </w:r>
      <w:r>
        <w:rPr>
          <w:rFonts w:hint="eastAsia"/>
          <w:b w:val="0"/>
          <w:bCs w:val="0"/>
          <w:highlight w:val="none"/>
        </w:rPr>
        <w:t>元。</w:t>
      </w:r>
    </w:p>
    <w:p>
      <w:pPr>
        <w:pStyle w:val="16"/>
        <w:spacing w:before="0" w:beforeAutospacing="0" w:after="0" w:afterAutospacing="0" w:line="360" w:lineRule="auto"/>
        <w:ind w:firstLine="482" w:firstLineChars="200"/>
        <w:rPr>
          <w:highlight w:val="none"/>
        </w:rPr>
      </w:pPr>
      <w:r>
        <w:rPr>
          <w:rFonts w:hint="eastAsia"/>
          <w:b/>
          <w:bCs/>
          <w:highlight w:val="none"/>
          <w:lang w:val="en-US" w:eastAsia="zh-CN"/>
        </w:rPr>
        <w:t>8</w:t>
      </w:r>
      <w:r>
        <w:rPr>
          <w:rStyle w:val="23"/>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lang w:val="en-US" w:eastAsia="zh-CN"/>
        </w:rPr>
        <w:t>9</w:t>
      </w:r>
      <w:r>
        <w:rPr>
          <w:rFonts w:hint="eastAsia"/>
          <w:b/>
          <w:bCs/>
          <w:highlight w:val="none"/>
        </w:rPr>
        <w:t>.</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highlight w:val="none"/>
        </w:rPr>
      </w:pPr>
      <w:r>
        <w:rPr>
          <w:rStyle w:val="23"/>
          <w:rFonts w:hint="eastAsia"/>
          <w:highlight w:val="none"/>
        </w:rPr>
        <w:t>1</w:t>
      </w:r>
      <w:r>
        <w:rPr>
          <w:rStyle w:val="23"/>
          <w:rFonts w:hint="eastAsia"/>
          <w:highlight w:val="none"/>
          <w:lang w:val="en-US" w:eastAsia="zh-CN"/>
        </w:rPr>
        <w:t>0</w:t>
      </w:r>
      <w:r>
        <w:rPr>
          <w:rStyle w:val="23"/>
          <w:rFonts w:hint="eastAsia"/>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3"/>
          <w:rFonts w:hint="eastAsia"/>
          <w:highlight w:val="none"/>
        </w:rPr>
        <w:t>1</w:t>
      </w:r>
      <w:r>
        <w:rPr>
          <w:rStyle w:val="23"/>
          <w:rFonts w:hint="eastAsia"/>
          <w:highlight w:val="none"/>
          <w:lang w:val="en-US" w:eastAsia="zh-CN"/>
        </w:rPr>
        <w:t>1</w:t>
      </w:r>
      <w:r>
        <w:rPr>
          <w:rStyle w:val="23"/>
          <w:rFonts w:hint="eastAsia"/>
          <w:highlight w:val="none"/>
        </w:rPr>
        <w:t>.保密条款：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2</w:t>
      </w:r>
      <w:r>
        <w:rPr>
          <w:rFonts w:hint="eastAsia"/>
          <w:b/>
          <w:bCs/>
          <w:highlight w:val="none"/>
        </w:rPr>
        <w:t>.</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3</w:t>
      </w:r>
      <w:r>
        <w:rPr>
          <w:rFonts w:hint="eastAsia"/>
          <w:b/>
          <w:bCs/>
          <w:highlight w:val="none"/>
        </w:rPr>
        <w:t>.</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highlight w:val="none"/>
          <w:u w:val="single"/>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rPr>
                <w:highlight w:val="none"/>
              </w:rPr>
            </w:pPr>
            <w:r>
              <w:rPr>
                <w:rFonts w:hint="eastAsia"/>
                <w:highlight w:val="none"/>
              </w:rPr>
              <w:t>合同包</w:t>
            </w:r>
          </w:p>
        </w:tc>
        <w:tc>
          <w:tcPr>
            <w:tcW w:w="881" w:type="dxa"/>
            <w:vAlign w:val="center"/>
          </w:tcPr>
          <w:p>
            <w:pPr>
              <w:pStyle w:val="16"/>
              <w:wordWrap w:val="0"/>
              <w:spacing w:beforeAutospacing="0" w:afterAutospacing="0" w:line="360" w:lineRule="auto"/>
              <w:jc w:val="center"/>
              <w:rPr>
                <w:highlight w:val="none"/>
              </w:rPr>
            </w:pPr>
            <w:r>
              <w:rPr>
                <w:rFonts w:hint="eastAsia"/>
                <w:highlight w:val="none"/>
              </w:rPr>
              <w:t>品目号</w:t>
            </w:r>
          </w:p>
        </w:tc>
        <w:tc>
          <w:tcPr>
            <w:tcW w:w="2211" w:type="dxa"/>
            <w:vAlign w:val="center"/>
          </w:tcPr>
          <w:p>
            <w:pPr>
              <w:pStyle w:val="16"/>
              <w:wordWrap w:val="0"/>
              <w:spacing w:beforeAutospacing="0" w:afterAutospacing="0" w:line="360" w:lineRule="auto"/>
              <w:jc w:val="center"/>
              <w:rPr>
                <w:highlight w:val="none"/>
              </w:rPr>
            </w:pPr>
            <w:r>
              <w:rPr>
                <w:rFonts w:hint="eastAsia"/>
                <w:highlight w:val="none"/>
                <w:lang w:eastAsia="zh-CN"/>
              </w:rPr>
              <w:t>服务</w:t>
            </w:r>
            <w:r>
              <w:rPr>
                <w:rFonts w:hint="eastAsia"/>
                <w:highlight w:val="none"/>
              </w:rPr>
              <w:t>名称</w:t>
            </w:r>
          </w:p>
        </w:tc>
        <w:tc>
          <w:tcPr>
            <w:tcW w:w="1546" w:type="dxa"/>
            <w:vAlign w:val="center"/>
          </w:tcPr>
          <w:p>
            <w:pPr>
              <w:pStyle w:val="16"/>
              <w:wordWrap w:val="0"/>
              <w:spacing w:beforeAutospacing="0" w:afterAutospacing="0" w:line="360" w:lineRule="auto"/>
              <w:jc w:val="center"/>
              <w:rPr>
                <w:highlight w:val="none"/>
              </w:rPr>
            </w:pPr>
            <w:r>
              <w:rPr>
                <w:rFonts w:hint="eastAsia"/>
                <w:highlight w:val="none"/>
              </w:rPr>
              <w:t>数量（单位）</w:t>
            </w:r>
          </w:p>
        </w:tc>
        <w:tc>
          <w:tcPr>
            <w:tcW w:w="1324" w:type="dxa"/>
            <w:vAlign w:val="center"/>
          </w:tcPr>
          <w:p>
            <w:pPr>
              <w:pStyle w:val="16"/>
              <w:wordWrap w:val="0"/>
              <w:spacing w:beforeAutospacing="0" w:afterAutospacing="0" w:line="360" w:lineRule="auto"/>
              <w:jc w:val="center"/>
              <w:rPr>
                <w:highlight w:val="none"/>
              </w:rPr>
            </w:pPr>
            <w:r>
              <w:rPr>
                <w:rFonts w:hint="eastAsia"/>
                <w:highlight w:val="none"/>
              </w:rPr>
              <w:t>单价（元）</w:t>
            </w:r>
          </w:p>
        </w:tc>
        <w:tc>
          <w:tcPr>
            <w:tcW w:w="1767" w:type="dxa"/>
            <w:vAlign w:val="center"/>
          </w:tcPr>
          <w:p>
            <w:pPr>
              <w:pStyle w:val="16"/>
              <w:wordWrap w:val="0"/>
              <w:spacing w:beforeAutospacing="0" w:afterAutospacing="0" w:line="360" w:lineRule="auto"/>
              <w:jc w:val="center"/>
              <w:rPr>
                <w:highlight w:val="none"/>
              </w:rPr>
            </w:pPr>
            <w:r>
              <w:rPr>
                <w:rFonts w:hint="eastAsia"/>
                <w:highlight w:val="none"/>
              </w:rPr>
              <w:t>合同金额（元）</w:t>
            </w:r>
          </w:p>
        </w:tc>
        <w:tc>
          <w:tcPr>
            <w:tcW w:w="659" w:type="dxa"/>
            <w:vAlign w:val="center"/>
          </w:tcPr>
          <w:p>
            <w:pPr>
              <w:pStyle w:val="16"/>
              <w:wordWrap w:val="0"/>
              <w:spacing w:beforeAutospacing="0" w:afterAutospacing="0"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rPr>
                <w:highlight w:val="none"/>
              </w:rPr>
            </w:pPr>
            <w:r>
              <w:rPr>
                <w:rFonts w:hint="eastAsia"/>
                <w:highlight w:val="none"/>
              </w:rPr>
              <w:t>1</w:t>
            </w:r>
          </w:p>
        </w:tc>
        <w:tc>
          <w:tcPr>
            <w:tcW w:w="881" w:type="dxa"/>
            <w:vAlign w:val="center"/>
          </w:tcPr>
          <w:p>
            <w:pPr>
              <w:spacing w:line="360" w:lineRule="auto"/>
              <w:jc w:val="center"/>
              <w:rPr>
                <w:rFonts w:cs="宋体"/>
                <w:highlight w:val="none"/>
              </w:rPr>
            </w:pPr>
          </w:p>
        </w:tc>
        <w:tc>
          <w:tcPr>
            <w:tcW w:w="2211" w:type="dxa"/>
            <w:vAlign w:val="center"/>
          </w:tcPr>
          <w:p>
            <w:pPr>
              <w:widowControl/>
              <w:spacing w:line="360" w:lineRule="auto"/>
              <w:jc w:val="center"/>
              <w:textAlignment w:val="center"/>
              <w:rPr>
                <w:rFonts w:cs="宋体"/>
                <w:highlight w:val="none"/>
              </w:rPr>
            </w:pPr>
          </w:p>
        </w:tc>
        <w:tc>
          <w:tcPr>
            <w:tcW w:w="1546" w:type="dxa"/>
            <w:vAlign w:val="center"/>
          </w:tcPr>
          <w:p>
            <w:pPr>
              <w:widowControl/>
              <w:spacing w:line="360" w:lineRule="auto"/>
              <w:jc w:val="center"/>
              <w:textAlignment w:val="center"/>
              <w:rPr>
                <w:rFonts w:cs="宋体"/>
                <w:highlight w:val="none"/>
              </w:rPr>
            </w:pPr>
          </w:p>
        </w:tc>
        <w:tc>
          <w:tcPr>
            <w:tcW w:w="1324" w:type="dxa"/>
            <w:vAlign w:val="center"/>
          </w:tcPr>
          <w:p>
            <w:pPr>
              <w:pStyle w:val="16"/>
              <w:wordWrap w:val="0"/>
              <w:spacing w:beforeAutospacing="0" w:afterAutospacing="0" w:line="360" w:lineRule="auto"/>
              <w:jc w:val="center"/>
              <w:rPr>
                <w:highlight w:val="none"/>
              </w:rPr>
            </w:pPr>
          </w:p>
        </w:tc>
        <w:tc>
          <w:tcPr>
            <w:tcW w:w="1767" w:type="dxa"/>
            <w:vAlign w:val="center"/>
          </w:tcPr>
          <w:p>
            <w:pPr>
              <w:pStyle w:val="16"/>
              <w:wordWrap w:val="0"/>
              <w:spacing w:beforeAutospacing="0" w:afterAutospacing="0" w:line="360" w:lineRule="auto"/>
              <w:jc w:val="center"/>
              <w:rPr>
                <w:highlight w:val="none"/>
              </w:rPr>
            </w:pPr>
          </w:p>
        </w:tc>
        <w:tc>
          <w:tcPr>
            <w:tcW w:w="659" w:type="dxa"/>
            <w:vAlign w:val="center"/>
          </w:tcPr>
          <w:p>
            <w:pPr>
              <w:pStyle w:val="16"/>
              <w:wordWrap w:val="0"/>
              <w:spacing w:beforeAutospacing="0" w:afterAutospacing="0" w:line="360" w:lineRule="auto"/>
              <w:jc w:val="center"/>
              <w:rPr>
                <w:highlight w:val="none"/>
              </w:rPr>
            </w:pPr>
          </w:p>
        </w:tc>
      </w:tr>
    </w:tbl>
    <w:p>
      <w:pPr>
        <w:snapToGrid w:val="0"/>
        <w:spacing w:line="360" w:lineRule="auto"/>
        <w:ind w:firstLine="482" w:firstLineChars="200"/>
        <w:outlineLvl w:val="1"/>
        <w:rPr>
          <w:rFonts w:ascii="宋体" w:hAnsi="宋体" w:cs="宋体"/>
          <w:b/>
          <w:sz w:val="24"/>
          <w:highlight w:val="none"/>
        </w:rPr>
      </w:pPr>
      <w:bookmarkStart w:id="8" w:name="_Toc6480"/>
      <w:r>
        <w:rPr>
          <w:rFonts w:hint="eastAsia" w:ascii="宋体" w:hAnsi="宋体" w:cs="宋体"/>
          <w:b/>
          <w:sz w:val="24"/>
          <w:highlight w:val="none"/>
        </w:rPr>
        <w:t>2、交货地点及交货时间</w:t>
      </w:r>
      <w:bookmarkEnd w:id="8"/>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2.1交货地点：采购人指定地点。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2.2</w:t>
      </w:r>
      <w:r>
        <w:rPr>
          <w:rFonts w:hint="eastAsia" w:ascii="宋体" w:hAnsi="宋体" w:cs="宋体"/>
          <w:b/>
          <w:bCs/>
          <w:sz w:val="24"/>
          <w:highlight w:val="none"/>
          <w:lang w:eastAsia="zh-CN"/>
        </w:rPr>
        <w:t>服务期限</w:t>
      </w:r>
      <w:r>
        <w:rPr>
          <w:rFonts w:hint="eastAsia" w:ascii="宋体" w:hAnsi="宋体" w:cs="宋体"/>
          <w:b/>
          <w:bCs/>
          <w:sz w:val="24"/>
          <w:highlight w:val="none"/>
        </w:rPr>
        <w:t>：合同签订后2年。</w:t>
      </w:r>
    </w:p>
    <w:p>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3、交货方式：完成各项要求，验收合格。</w:t>
      </w:r>
    </w:p>
    <w:p>
      <w:pPr>
        <w:spacing w:line="360" w:lineRule="auto"/>
        <w:ind w:firstLine="482" w:firstLineChars="200"/>
        <w:outlineLvl w:val="1"/>
        <w:rPr>
          <w:rFonts w:ascii="宋体" w:hAnsi="宋体" w:cs="宋体"/>
          <w:sz w:val="24"/>
          <w:highlight w:val="none"/>
        </w:rPr>
      </w:pPr>
      <w:bookmarkStart w:id="9" w:name="_Toc15649"/>
      <w:r>
        <w:rPr>
          <w:rFonts w:hint="eastAsia" w:ascii="宋体" w:hAnsi="宋体" w:cs="宋体"/>
          <w:b/>
          <w:bCs/>
          <w:sz w:val="24"/>
          <w:highlight w:val="none"/>
        </w:rPr>
        <w:t>4、项目联系人：</w:t>
      </w:r>
      <w:r>
        <w:rPr>
          <w:rFonts w:hint="eastAsia" w:ascii="宋体" w:hAnsi="宋体" w:cs="宋体"/>
          <w:b/>
          <w:bCs/>
          <w:sz w:val="24"/>
          <w:highlight w:val="none"/>
          <w:lang w:eastAsia="zh-CN"/>
        </w:rPr>
        <w:t>周</w:t>
      </w:r>
      <w:r>
        <w:rPr>
          <w:rFonts w:hint="eastAsia" w:ascii="宋体" w:hAnsi="宋体" w:cs="宋体"/>
          <w:b/>
          <w:bCs/>
          <w:sz w:val="24"/>
          <w:highlight w:val="none"/>
        </w:rPr>
        <w:t xml:space="preserve">警官  </w:t>
      </w:r>
      <w:r>
        <w:rPr>
          <w:rFonts w:hint="eastAsia" w:ascii="宋体" w:hAnsi="宋体" w:cs="宋体"/>
          <w:b/>
          <w:bCs/>
          <w:sz w:val="24"/>
          <w:highlight w:val="none"/>
          <w:lang w:val="en-US" w:eastAsia="zh-CN"/>
        </w:rPr>
        <w:t xml:space="preserve">  0599-8071038 </w:t>
      </w:r>
      <w:r>
        <w:rPr>
          <w:rFonts w:hint="eastAsia" w:ascii="宋体" w:hAnsi="宋体" w:cs="宋体"/>
          <w:sz w:val="24"/>
          <w:highlight w:val="none"/>
        </w:rPr>
        <w:t>。</w:t>
      </w:r>
      <w:bookmarkEnd w:id="9"/>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5、履约保证金：</w:t>
      </w:r>
      <w:r>
        <w:rPr>
          <w:rFonts w:hint="eastAsia" w:ascii="宋体" w:hAnsi="宋体" w:cs="宋体"/>
          <w:b/>
          <w:bCs/>
          <w:kern w:val="0"/>
          <w:sz w:val="24"/>
          <w:highlight w:val="none"/>
        </w:rPr>
        <w:t>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spacing w:line="360" w:lineRule="auto"/>
        <w:ind w:firstLine="482" w:firstLineChars="200"/>
        <w:outlineLvl w:val="1"/>
        <w:rPr>
          <w:rFonts w:ascii="宋体" w:hAnsi="宋体" w:cs="宋体"/>
          <w:b/>
          <w:bCs/>
          <w:sz w:val="24"/>
          <w:highlight w:val="none"/>
        </w:rPr>
      </w:pPr>
      <w:bookmarkStart w:id="10" w:name="_Toc4463"/>
      <w:r>
        <w:rPr>
          <w:rFonts w:hint="eastAsia" w:ascii="宋体" w:hAnsi="宋体" w:cs="宋体"/>
          <w:b/>
          <w:bCs/>
          <w:sz w:val="24"/>
          <w:highlight w:val="none"/>
        </w:rPr>
        <w:t>6、结算与付款方式：</w:t>
      </w:r>
      <w:bookmarkEnd w:id="10"/>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7、技术和服务要求（</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）具体如下：</w:t>
      </w:r>
    </w:p>
    <w:p>
      <w:pPr>
        <w:spacing w:line="360" w:lineRule="auto"/>
        <w:rPr>
          <w:rFonts w:ascii="宋体" w:hAnsi="宋体" w:cs="宋体"/>
          <w:color w:val="000000"/>
          <w:sz w:val="24"/>
          <w:highlight w:val="none"/>
        </w:rPr>
      </w:pPr>
    </w:p>
    <w:p>
      <w:pPr>
        <w:tabs>
          <w:tab w:val="left" w:pos="0"/>
        </w:tabs>
        <w:spacing w:line="360" w:lineRule="auto"/>
        <w:ind w:firstLine="482" w:firstLineChars="200"/>
        <w:rPr>
          <w:rFonts w:ascii="宋体" w:hAnsi="宋体" w:cs="宋体"/>
          <w:sz w:val="24"/>
          <w:highlight w:val="none"/>
        </w:rPr>
      </w:pPr>
      <w:bookmarkStart w:id="11" w:name="_Toc11125"/>
      <w:r>
        <w:rPr>
          <w:rFonts w:hint="eastAsia" w:ascii="宋体" w:hAnsi="宋体" w:cs="宋体"/>
          <w:b/>
          <w:bCs/>
          <w:color w:val="000000"/>
          <w:sz w:val="24"/>
          <w:highlight w:val="none"/>
        </w:rPr>
        <w:t>8、验收要求</w:t>
      </w:r>
      <w:bookmarkEnd w:id="11"/>
      <w:r>
        <w:rPr>
          <w:rFonts w:hint="eastAsia" w:ascii="宋体" w:hAnsi="宋体" w:cs="宋体"/>
          <w:b/>
          <w:bCs/>
          <w:color w:val="000000"/>
          <w:sz w:val="24"/>
          <w:highlight w:val="none"/>
        </w:rPr>
        <w:t>：按照国家相关标准、行业标准及网上竞价文件及合同要求执行。</w:t>
      </w:r>
    </w:p>
    <w:p>
      <w:pPr>
        <w:spacing w:line="360" w:lineRule="auto"/>
        <w:ind w:firstLine="482" w:firstLineChars="200"/>
        <w:outlineLvl w:val="1"/>
        <w:rPr>
          <w:rFonts w:ascii="宋体" w:hAnsi="宋体" w:cs="宋体"/>
          <w:b/>
          <w:bCs/>
          <w:color w:val="000000"/>
          <w:sz w:val="24"/>
          <w:highlight w:val="none"/>
        </w:rPr>
      </w:pPr>
      <w:bookmarkStart w:id="12" w:name="_Toc26908"/>
      <w:r>
        <w:rPr>
          <w:rFonts w:hint="eastAsia" w:ascii="宋体" w:hAnsi="宋体" w:cs="宋体"/>
          <w:b/>
          <w:bCs/>
          <w:color w:val="000000"/>
          <w:sz w:val="24"/>
          <w:highlight w:val="none"/>
          <w:lang w:val="en-US" w:eastAsia="zh-CN"/>
        </w:rPr>
        <w:t>9</w:t>
      </w:r>
      <w:r>
        <w:rPr>
          <w:rFonts w:hint="eastAsia" w:ascii="宋体" w:hAnsi="宋体" w:cs="宋体"/>
          <w:b/>
          <w:bCs/>
          <w:color w:val="000000"/>
          <w:sz w:val="24"/>
          <w:highlight w:val="none"/>
        </w:rPr>
        <w:t>、违约责任</w:t>
      </w:r>
      <w:bookmarkEnd w:id="12"/>
    </w:p>
    <w:p>
      <w:pPr>
        <w:pStyle w:val="16"/>
        <w:spacing w:before="0" w:beforeAutospacing="0" w:after="0" w:afterAutospacing="0" w:line="360" w:lineRule="auto"/>
        <w:ind w:firstLine="480" w:firstLineChars="200"/>
        <w:rPr>
          <w:rFonts w:hint="eastAsia"/>
          <w:b w:val="0"/>
          <w:bCs w:val="0"/>
          <w:highlight w:val="none"/>
        </w:rPr>
      </w:pPr>
      <w:bookmarkStart w:id="13" w:name="_Toc24883"/>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r>
        <w:rPr>
          <w:rFonts w:hint="eastAsia"/>
          <w:b w:val="0"/>
          <w:bCs w:val="0"/>
          <w:highlight w:val="none"/>
        </w:rPr>
        <w:t>。</w:t>
      </w:r>
    </w:p>
    <w:bookmarkEnd w:id="13"/>
    <w:p>
      <w:pPr>
        <w:tabs>
          <w:tab w:val="left" w:pos="0"/>
        </w:tabs>
        <w:spacing w:line="360" w:lineRule="auto"/>
        <w:ind w:firstLine="482" w:firstLineChars="200"/>
        <w:outlineLvl w:val="1"/>
        <w:rPr>
          <w:rFonts w:ascii="宋体" w:hAnsi="宋体" w:cs="宋体"/>
          <w:b/>
          <w:bCs/>
          <w:sz w:val="24"/>
          <w:highlight w:val="none"/>
        </w:rPr>
      </w:pPr>
      <w:bookmarkStart w:id="14" w:name="_Toc25786"/>
      <w:r>
        <w:rPr>
          <w:rFonts w:hint="eastAsia" w:ascii="宋体" w:hAnsi="宋体" w:cs="宋体"/>
          <w:b/>
          <w:bCs/>
          <w:sz w:val="24"/>
          <w:highlight w:val="none"/>
        </w:rPr>
        <w:t>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14"/>
      <w:r>
        <w:rPr>
          <w:rFonts w:hint="eastAsia" w:ascii="宋体" w:hAnsi="宋体" w:cs="宋体"/>
          <w:b/>
          <w:bCs/>
          <w:sz w:val="24"/>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highlight w:val="none"/>
        </w:rPr>
        <w:t>乙方</w:t>
      </w:r>
      <w:r>
        <w:rPr>
          <w:rFonts w:hint="eastAsia"/>
          <w:highlight w:val="none"/>
          <w:lang w:val="zh-TW"/>
        </w:rPr>
        <w:t>须与第三方交涉并承担可能发生的责任与一切费用。如甲方因此而遭致损失的，</w:t>
      </w:r>
      <w:r>
        <w:rPr>
          <w:rFonts w:hint="eastAsia"/>
          <w:highlight w:val="none"/>
        </w:rPr>
        <w:t>乙方</w:t>
      </w:r>
      <w:r>
        <w:rPr>
          <w:rFonts w:hint="eastAsia"/>
          <w:highlight w:val="none"/>
          <w:lang w:val="zh-TW"/>
        </w:rPr>
        <w:t>应赔偿该损失。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1</w:t>
      </w:r>
      <w:r>
        <w:rPr>
          <w:rFonts w:hint="eastAsia" w:ascii="宋体" w:hAnsi="宋体" w:cs="宋体"/>
          <w:b/>
          <w:bCs/>
          <w:sz w:val="24"/>
          <w:highlight w:val="none"/>
        </w:rPr>
        <w:t>、其他约定：</w:t>
      </w:r>
      <w:r>
        <w:rPr>
          <w:rFonts w:ascii="宋体" w:hAnsi="宋体" w:cs="宋体"/>
          <w:sz w:val="24"/>
          <w:highlight w:val="none"/>
          <w:u w:val="single"/>
        </w:rPr>
        <w:t>（按照实际情况编制填写。</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章已有规定的，双方均不得变更或调整；</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章未作规定的，双方可通过友好协商进行约定）</w:t>
      </w:r>
    </w:p>
    <w:p>
      <w:pPr>
        <w:spacing w:line="360" w:lineRule="auto"/>
        <w:ind w:firstLine="482" w:firstLineChars="200"/>
        <w:outlineLvl w:val="1"/>
        <w:rPr>
          <w:rFonts w:ascii="宋体" w:hAnsi="宋体" w:cs="宋体"/>
          <w:b/>
          <w:bCs/>
          <w:sz w:val="24"/>
          <w:highlight w:val="none"/>
        </w:rPr>
      </w:pPr>
      <w:bookmarkStart w:id="15" w:name="_Toc1392"/>
      <w:r>
        <w:rPr>
          <w:rFonts w:hint="eastAsia" w:ascii="宋体" w:hAnsi="宋体" w:cs="宋体"/>
          <w:b/>
          <w:bCs/>
          <w:sz w:val="24"/>
          <w:highlight w:val="none"/>
          <w:lang w:val="en-US" w:eastAsia="zh-CN"/>
        </w:rPr>
        <w:t>12</w:t>
      </w:r>
      <w:r>
        <w:rPr>
          <w:rFonts w:hint="eastAsia" w:ascii="宋体" w:hAnsi="宋体" w:cs="宋体"/>
          <w:b/>
          <w:bCs/>
          <w:sz w:val="24"/>
          <w:highlight w:val="none"/>
        </w:rPr>
        <w:t>、合同解除条件</w:t>
      </w:r>
      <w:bookmarkEnd w:id="15"/>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.1乙方</w:t>
      </w:r>
      <w:r>
        <w:rPr>
          <w:rFonts w:hint="eastAsia" w:ascii="宋体" w:hAnsi="宋体" w:cs="宋体"/>
          <w:sz w:val="24"/>
          <w:highlight w:val="none"/>
          <w:lang w:val="zh-CN"/>
        </w:rPr>
        <w:t>出现以下情形之一的，</w:t>
      </w:r>
      <w:r>
        <w:rPr>
          <w:rFonts w:hint="eastAsia" w:ascii="宋体" w:hAnsi="宋体" w:cs="宋体"/>
          <w:sz w:val="24"/>
          <w:highlight w:val="none"/>
        </w:rPr>
        <w:t>甲方</w:t>
      </w:r>
      <w:r>
        <w:rPr>
          <w:rFonts w:hint="eastAsia" w:ascii="宋体" w:hAnsi="宋体" w:cs="宋体"/>
          <w:sz w:val="24"/>
          <w:highlight w:val="none"/>
          <w:lang w:val="zh-CN"/>
        </w:rPr>
        <w:t>有权单方解除合同，并没收</w:t>
      </w:r>
      <w:r>
        <w:rPr>
          <w:rFonts w:hint="eastAsia" w:ascii="宋体" w:hAnsi="宋体" w:cs="宋体"/>
          <w:sz w:val="24"/>
          <w:highlight w:val="none"/>
        </w:rPr>
        <w:t>乙方</w:t>
      </w:r>
      <w:r>
        <w:rPr>
          <w:rFonts w:hint="eastAsia" w:ascii="宋体" w:hAnsi="宋体" w:cs="宋体"/>
          <w:sz w:val="24"/>
          <w:highlight w:val="none"/>
          <w:lang w:val="zh-CN"/>
        </w:rPr>
        <w:t>履约保证金。有下列第三种情形的，</w:t>
      </w:r>
      <w:r>
        <w:rPr>
          <w:rFonts w:hint="eastAsia" w:ascii="宋体" w:hAnsi="宋体" w:cs="宋体"/>
          <w:sz w:val="24"/>
          <w:highlight w:val="none"/>
        </w:rPr>
        <w:t>甲方</w:t>
      </w:r>
      <w:r>
        <w:rPr>
          <w:rFonts w:hint="eastAsia" w:ascii="宋体" w:hAnsi="宋体" w:cs="宋体"/>
          <w:sz w:val="24"/>
          <w:highlight w:val="none"/>
          <w:lang w:val="zh-CN"/>
        </w:rPr>
        <w:t>同时还有权拒绝支付货款，要求</w:t>
      </w:r>
      <w:r>
        <w:rPr>
          <w:rFonts w:hint="eastAsia" w:ascii="宋体" w:hAnsi="宋体" w:cs="宋体"/>
          <w:sz w:val="24"/>
          <w:highlight w:val="none"/>
        </w:rPr>
        <w:t>乙方</w:t>
      </w:r>
      <w:r>
        <w:rPr>
          <w:rFonts w:hint="eastAsia" w:ascii="宋体" w:hAnsi="宋体" w:cs="宋体"/>
          <w:sz w:val="24"/>
          <w:highlight w:val="none"/>
          <w:lang w:val="zh-CN"/>
        </w:rPr>
        <w:t>赔偿损失并承担相关费用，涉嫌犯罪的，交由司法部门处理。</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.1</w:t>
      </w:r>
      <w:r>
        <w:rPr>
          <w:rFonts w:hint="eastAsia" w:ascii="宋体" w:hAnsi="宋体" w:cs="宋体"/>
          <w:sz w:val="24"/>
          <w:highlight w:val="none"/>
        </w:rPr>
        <w:t>.1乙方</w:t>
      </w:r>
      <w:r>
        <w:rPr>
          <w:rFonts w:hint="eastAsia" w:ascii="宋体" w:hAnsi="宋体" w:cs="宋体"/>
          <w:sz w:val="24"/>
          <w:highlight w:val="none"/>
          <w:lang w:val="zh-CN"/>
        </w:rPr>
        <w:t>出现“违约责任”中</w:t>
      </w:r>
      <w:r>
        <w:rPr>
          <w:rFonts w:hint="eastAsia" w:ascii="宋体" w:hAnsi="宋体" w:cs="宋体"/>
          <w:sz w:val="24"/>
          <w:highlight w:val="none"/>
        </w:rPr>
        <w:t>甲方</w:t>
      </w:r>
      <w:r>
        <w:rPr>
          <w:rFonts w:hint="eastAsia" w:ascii="宋体" w:hAnsi="宋体" w:cs="宋体"/>
          <w:sz w:val="24"/>
          <w:highlight w:val="none"/>
          <w:lang w:val="zh-CN"/>
        </w:rPr>
        <w:t>有权单方面终止合同的情况。</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2</w:t>
      </w:r>
      <w:r>
        <w:rPr>
          <w:rFonts w:hint="eastAsia" w:ascii="宋体" w:hAnsi="宋体" w:cs="宋体"/>
          <w:sz w:val="24"/>
          <w:highlight w:val="none"/>
        </w:rPr>
        <w:t>乙方</w:t>
      </w:r>
      <w:r>
        <w:rPr>
          <w:rFonts w:hint="eastAsia" w:ascii="宋体" w:hAnsi="宋体" w:cs="宋体"/>
          <w:sz w:val="24"/>
          <w:highlight w:val="none"/>
          <w:lang w:val="zh-CN"/>
        </w:rPr>
        <w:t>转让、转包、分包的。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3</w:t>
      </w:r>
      <w:r>
        <w:rPr>
          <w:rFonts w:hint="eastAsia" w:ascii="宋体" w:hAnsi="宋体" w:cs="宋体"/>
          <w:sz w:val="24"/>
          <w:highlight w:val="none"/>
        </w:rPr>
        <w:t>乙方</w:t>
      </w:r>
      <w:r>
        <w:rPr>
          <w:rFonts w:hint="eastAsia" w:ascii="宋体" w:hAnsi="宋体" w:cs="宋体"/>
          <w:sz w:val="24"/>
          <w:highlight w:val="none"/>
          <w:lang w:val="zh-CN"/>
        </w:rPr>
        <w:t>非因不可抗力停止服务，向</w:t>
      </w:r>
      <w:r>
        <w:rPr>
          <w:rFonts w:hint="eastAsia" w:ascii="宋体" w:hAnsi="宋体" w:cs="宋体"/>
          <w:sz w:val="24"/>
          <w:highlight w:val="none"/>
        </w:rPr>
        <w:t>甲方</w:t>
      </w:r>
      <w:r>
        <w:rPr>
          <w:rFonts w:hint="eastAsia" w:ascii="宋体" w:hAnsi="宋体" w:cs="宋体"/>
          <w:sz w:val="24"/>
          <w:highlight w:val="none"/>
          <w:lang w:val="zh-CN"/>
        </w:rPr>
        <w:t>说明理由</w:t>
      </w:r>
      <w:r>
        <w:rPr>
          <w:rFonts w:hint="eastAsia" w:ascii="宋体" w:hAnsi="宋体" w:cs="宋体"/>
          <w:sz w:val="24"/>
          <w:highlight w:val="none"/>
        </w:rPr>
        <w:t>甲方</w:t>
      </w:r>
      <w:r>
        <w:rPr>
          <w:rFonts w:hint="eastAsia" w:ascii="宋体" w:hAnsi="宋体" w:cs="宋体"/>
          <w:sz w:val="24"/>
          <w:highlight w:val="none"/>
          <w:lang w:val="zh-CN"/>
        </w:rPr>
        <w:t>不予采信的。</w:t>
      </w:r>
    </w:p>
    <w:p>
      <w:pPr>
        <w:spacing w:line="360" w:lineRule="auto"/>
        <w:ind w:firstLine="482" w:firstLineChars="200"/>
        <w:outlineLvl w:val="1"/>
        <w:rPr>
          <w:rFonts w:ascii="宋体" w:hAnsi="宋体" w:cs="宋体"/>
          <w:b/>
          <w:bCs/>
          <w:sz w:val="24"/>
          <w:highlight w:val="none"/>
        </w:rPr>
      </w:pPr>
      <w:bookmarkStart w:id="16" w:name="_Toc5467"/>
      <w:r>
        <w:rPr>
          <w:rFonts w:hint="eastAsia" w:ascii="宋体" w:hAnsi="宋体" w:cs="宋体"/>
          <w:b/>
          <w:bCs/>
          <w:sz w:val="24"/>
          <w:highlight w:val="none"/>
          <w:lang w:val="en-US" w:eastAsia="zh-CN"/>
        </w:rPr>
        <w:t>13</w:t>
      </w:r>
      <w:r>
        <w:rPr>
          <w:rFonts w:hint="eastAsia" w:ascii="宋体" w:hAnsi="宋体" w:cs="宋体"/>
          <w:b/>
          <w:bCs/>
          <w:sz w:val="24"/>
          <w:highlight w:val="none"/>
        </w:rPr>
        <w:t>、不可抗力</w:t>
      </w:r>
      <w:bookmarkEnd w:id="16"/>
    </w:p>
    <w:p>
      <w:pPr>
        <w:pStyle w:val="16"/>
        <w:spacing w:before="0" w:beforeAutospacing="0" w:after="0" w:afterAutospacing="0" w:line="360" w:lineRule="auto"/>
        <w:ind w:firstLine="480" w:firstLineChars="200"/>
        <w:rPr>
          <w:highlight w:val="none"/>
          <w:lang w:val="zh-TW"/>
        </w:rPr>
      </w:pPr>
      <w:bookmarkStart w:id="17" w:name="_Toc29609"/>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4</w:t>
      </w:r>
      <w:r>
        <w:rPr>
          <w:rFonts w:hint="eastAsia" w:ascii="宋体" w:hAnsi="宋体" w:cs="宋体"/>
          <w:b/>
          <w:bCs/>
          <w:sz w:val="24"/>
          <w:highlight w:val="none"/>
        </w:rPr>
        <w:t>、合同纠纷处理方式</w:t>
      </w:r>
      <w:bookmarkEnd w:id="17"/>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因本</w:t>
      </w:r>
      <w:r>
        <w:rPr>
          <w:rFonts w:hint="eastAsia" w:ascii="宋体" w:hAnsi="宋体" w:cs="宋体"/>
          <w:sz w:val="24"/>
          <w:highlight w:val="none"/>
        </w:rPr>
        <w:t>项目</w:t>
      </w:r>
      <w:r>
        <w:rPr>
          <w:rFonts w:hint="eastAsia" w:ascii="宋体" w:hAnsi="宋体" w:cs="宋体"/>
          <w:sz w:val="24"/>
          <w:highlight w:val="none"/>
          <w:lang w:val="zh-CN"/>
        </w:rPr>
        <w:t>合同或与本</w:t>
      </w:r>
      <w:r>
        <w:rPr>
          <w:rFonts w:hint="eastAsia" w:ascii="宋体" w:hAnsi="宋体" w:cs="宋体"/>
          <w:sz w:val="24"/>
          <w:highlight w:val="none"/>
        </w:rPr>
        <w:t>项目</w:t>
      </w:r>
      <w:r>
        <w:rPr>
          <w:rFonts w:hint="eastAsia" w:ascii="宋体" w:hAnsi="宋体" w:cs="宋体"/>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sz w:val="24"/>
          <w:highlight w:val="none"/>
        </w:rPr>
      </w:pPr>
      <w:bookmarkStart w:id="18" w:name="_Toc8403"/>
      <w:r>
        <w:rPr>
          <w:rFonts w:hint="eastAsia" w:ascii="宋体" w:hAnsi="宋体" w:cs="宋体"/>
          <w:b/>
          <w:bCs/>
          <w:sz w:val="24"/>
          <w:highlight w:val="none"/>
        </w:rPr>
        <w:t>1</w:t>
      </w:r>
      <w:r>
        <w:rPr>
          <w:rFonts w:hint="eastAsia" w:ascii="宋体" w:hAnsi="宋体" w:cs="宋体"/>
          <w:b/>
          <w:bCs/>
          <w:sz w:val="24"/>
          <w:highlight w:val="none"/>
          <w:lang w:val="en-US" w:eastAsia="zh-CN"/>
        </w:rPr>
        <w:t>5</w:t>
      </w:r>
      <w:r>
        <w:rPr>
          <w:rFonts w:hint="eastAsia" w:ascii="宋体" w:hAnsi="宋体" w:cs="宋体"/>
          <w:b/>
          <w:bCs/>
          <w:sz w:val="24"/>
          <w:highlight w:val="none"/>
        </w:rPr>
        <w:t>、保密要求</w:t>
      </w:r>
      <w:bookmarkEnd w:id="18"/>
    </w:p>
    <w:p>
      <w:pPr>
        <w:pStyle w:val="16"/>
        <w:spacing w:before="0" w:beforeAutospacing="0" w:after="0" w:afterAutospacing="0" w:line="360" w:lineRule="auto"/>
        <w:ind w:firstLine="480" w:firstLineChars="200"/>
        <w:rPr>
          <w:highlight w:val="none"/>
        </w:rPr>
      </w:pPr>
      <w:bookmarkStart w:id="19" w:name="_Toc21944"/>
      <w:r>
        <w:rPr>
          <w:rFonts w:hint="eastAsia"/>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val="en-US" w:eastAsia="zh-CN"/>
        </w:rPr>
        <w:t>16</w:t>
      </w:r>
      <w:r>
        <w:rPr>
          <w:rFonts w:hint="eastAsia" w:ascii="宋体" w:hAnsi="宋体" w:cs="宋体"/>
          <w:b/>
          <w:bCs/>
          <w:sz w:val="24"/>
          <w:highlight w:val="none"/>
        </w:rPr>
        <w:t>、廉政条款</w:t>
      </w:r>
      <w:bookmarkEnd w:id="19"/>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（以下无正文）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8"/>
        <w:spacing w:line="360" w:lineRule="auto"/>
        <w:ind w:firstLine="480" w:firstLineChars="200"/>
        <w:jc w:val="both"/>
        <w:rPr>
          <w:rFonts w:ascii="宋体" w:hAnsi="宋体" w:cs="宋体"/>
          <w:sz w:val="36"/>
          <w:szCs w:val="36"/>
          <w:highlight w:val="none"/>
        </w:rPr>
      </w:pPr>
      <w:bookmarkStart w:id="20" w:name="_Toc30271"/>
      <w:r>
        <w:rPr>
          <w:rFonts w:hint="eastAsia" w:ascii="宋体" w:hAnsi="宋体" w:cs="宋体"/>
          <w:b w:val="0"/>
          <w:bCs w:val="0"/>
          <w:sz w:val="24"/>
          <w:szCs w:val="24"/>
          <w:highlight w:val="none"/>
        </w:rPr>
        <w:t>账    号：                            账    号：</w:t>
      </w:r>
      <w:bookmarkEnd w:id="20"/>
    </w:p>
    <w:p>
      <w:pPr>
        <w:pStyle w:val="2"/>
        <w:spacing w:line="360" w:lineRule="auto"/>
        <w:rPr>
          <w:sz w:val="24"/>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9"/>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6"/>
        <w:spacing w:line="360" w:lineRule="auto"/>
        <w:rPr>
          <w:highlight w:val="none"/>
        </w:rPr>
      </w:pPr>
    </w:p>
    <w:p>
      <w:pPr>
        <w:spacing w:line="360" w:lineRule="auto"/>
        <w:rPr>
          <w:highlight w:val="none"/>
        </w:rPr>
      </w:pPr>
    </w:p>
    <w:p>
      <w:pPr>
        <w:pStyle w:val="6"/>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spacing w:line="360" w:lineRule="auto"/>
        <w:rPr>
          <w:highlight w:val="none"/>
        </w:rPr>
      </w:pPr>
    </w:p>
    <w:p>
      <w:pPr>
        <w:pStyle w:val="19"/>
        <w:spacing w:line="360" w:lineRule="auto"/>
        <w:ind w:firstLine="210"/>
        <w:rPr>
          <w:highlight w:val="none"/>
        </w:rPr>
      </w:pPr>
    </w:p>
    <w:p>
      <w:pPr>
        <w:pStyle w:val="8"/>
        <w:spacing w:line="360" w:lineRule="auto"/>
        <w:rPr>
          <w:highlight w:val="none"/>
        </w:rPr>
      </w:pPr>
    </w:p>
    <w:p>
      <w:pPr>
        <w:pStyle w:val="3"/>
        <w:spacing w:line="360" w:lineRule="auto"/>
        <w:rPr>
          <w:highlight w:val="none"/>
        </w:rPr>
      </w:pPr>
    </w:p>
    <w:p>
      <w:pPr>
        <w:pStyle w:val="8"/>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6"/>
        <w:spacing w:line="360" w:lineRule="auto"/>
        <w:rPr>
          <w:highlight w:val="none"/>
        </w:rPr>
      </w:pPr>
    </w:p>
    <w:p>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6"/>
        <w:spacing w:after="120" w:line="360" w:lineRule="auto"/>
        <w:outlineLvl w:val="9"/>
        <w:rPr>
          <w:rFonts w:hAnsi="宋体" w:cs="宋体"/>
          <w:b/>
          <w:sz w:val="36"/>
          <w:highlight w:val="none"/>
        </w:rPr>
      </w:pPr>
    </w:p>
    <w:p>
      <w:pPr>
        <w:pStyle w:val="26"/>
        <w:spacing w:line="360" w:lineRule="auto"/>
        <w:rPr>
          <w:rFonts w:hAnsi="宋体" w:cs="宋体"/>
          <w:bCs/>
          <w:sz w:val="24"/>
          <w:highlight w:val="none"/>
        </w:rPr>
      </w:pPr>
      <w:r>
        <w:rPr>
          <w:rFonts w:hint="eastAsia" w:hAnsi="宋体" w:cs="宋体"/>
          <w:bCs/>
          <w:sz w:val="24"/>
          <w:highlight w:val="none"/>
        </w:rPr>
        <w:t>1、网上竞价承诺书</w:t>
      </w:r>
    </w:p>
    <w:p>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6"/>
        <w:spacing w:line="360" w:lineRule="auto"/>
        <w:rPr>
          <w:rFonts w:hAnsi="宋体"/>
          <w:sz w:val="24"/>
          <w:highlight w:val="none"/>
        </w:rPr>
      </w:pPr>
      <w:r>
        <w:rPr>
          <w:rFonts w:hint="eastAsia" w:hAnsi="宋体"/>
          <w:sz w:val="24"/>
          <w:highlight w:val="none"/>
        </w:rPr>
        <w:t>4、网上竞价文件要求的其他资格和技术商务材料</w:t>
      </w:r>
    </w:p>
    <w:p>
      <w:pPr>
        <w:pStyle w:val="26"/>
        <w:spacing w:line="360" w:lineRule="auto"/>
        <w:outlineLvl w:val="9"/>
        <w:rPr>
          <w:rFonts w:hAnsi="宋体" w:cs="宋体"/>
          <w:bCs/>
          <w:sz w:val="24"/>
          <w:highlight w:val="none"/>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color="auto" w:fill="FFFFFF"/>
        <w:spacing w:line="360" w:lineRule="auto"/>
        <w:rPr>
          <w:rFonts w:ascii="宋体" w:hAnsi="宋体" w:cs="宋体"/>
          <w:b/>
          <w:kern w:val="0"/>
          <w:sz w:val="28"/>
          <w:szCs w:val="28"/>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kern w:val="0"/>
          <w:sz w:val="24"/>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6"/>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3"/>
                <w:rFonts w:hint="eastAsia"/>
                <w:highlight w:val="none"/>
              </w:rPr>
              <w:t> </w:t>
            </w:r>
          </w:p>
          <w:p>
            <w:pPr>
              <w:pStyle w:val="16"/>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014"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1"/>
              <w:spacing w:line="360" w:lineRule="auto"/>
              <w:jc w:val="center"/>
              <w:rPr>
                <w:rFonts w:hint="default" w:ascii="宋体" w:hAnsi="宋体" w:cs="宋体"/>
                <w:sz w:val="24"/>
                <w:szCs w:val="24"/>
                <w:highlight w:val="none"/>
                <w:lang w:eastAsia="zh-CN"/>
              </w:rPr>
            </w:pPr>
            <w:r>
              <w:rPr>
                <w:rFonts w:hint="default" w:ascii="宋体" w:hAnsi="宋体" w:cs="宋体"/>
                <w:sz w:val="24"/>
                <w:szCs w:val="24"/>
                <w:highlight w:val="none"/>
                <w:lang w:eastAsia="zh-CN"/>
              </w:rPr>
              <w:t>服务名称</w:t>
            </w:r>
          </w:p>
        </w:tc>
        <w:tc>
          <w:tcPr>
            <w:tcW w:w="2178" w:type="dxa"/>
          </w:tcPr>
          <w:p>
            <w:pPr>
              <w:pStyle w:val="31"/>
              <w:spacing w:line="360" w:lineRule="auto"/>
              <w:jc w:val="center"/>
              <w:rPr>
                <w:rFonts w:hint="default" w:ascii="宋体" w:hAnsi="宋体" w:cs="宋体"/>
                <w:sz w:val="24"/>
                <w:szCs w:val="24"/>
                <w:highlight w:val="none"/>
              </w:rPr>
            </w:pPr>
            <w:r>
              <w:rPr>
                <w:rFonts w:hint="default" w:ascii="宋体" w:hAnsi="宋体" w:eastAsia="宋体" w:cs="宋体"/>
                <w:sz w:val="24"/>
                <w:szCs w:val="24"/>
                <w:highlight w:val="none"/>
              </w:rPr>
              <w:t>服务期限</w:t>
            </w:r>
          </w:p>
        </w:tc>
        <w:tc>
          <w:tcPr>
            <w:tcW w:w="946"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”应与</w:t>
      </w:r>
      <w:r>
        <w:rPr>
          <w:rFonts w:ascii="宋体" w:hAnsi="宋体" w:cs="宋体"/>
          <w:sz w:val="24"/>
          <w:szCs w:val="24"/>
          <w:highlight w:val="none"/>
          <w:lang w:eastAsia="zh-CN"/>
        </w:rPr>
        <w:t>第三章</w:t>
      </w:r>
      <w:r>
        <w:rPr>
          <w:rFonts w:ascii="宋体" w:hAnsi="宋体" w:cs="宋体"/>
          <w:sz w:val="24"/>
          <w:szCs w:val="24"/>
          <w:highlight w:val="none"/>
        </w:rPr>
        <w:t>《采购标的一览表》中的有关内容（“采购包”、“品目号”、“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”）保持一致。</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w:t>
      </w:r>
      <w:r>
        <w:rPr>
          <w:rFonts w:ascii="宋体" w:hAnsi="宋体" w:eastAsia="宋体" w:cs="宋体"/>
          <w:sz w:val="24"/>
          <w:szCs w:val="24"/>
          <w:highlight w:val="none"/>
        </w:rPr>
        <w:t>“规格”项下应填写服务提供者提供的服务标准及品牌（若有）。“来源地”应填写服务提供者的所在地。</w:t>
      </w:r>
    </w:p>
    <w:p>
      <w:pPr>
        <w:pStyle w:val="31"/>
        <w:spacing w:line="360" w:lineRule="auto"/>
        <w:ind w:firstLine="480"/>
        <w:jc w:val="right"/>
        <w:rPr>
          <w:rFonts w:hint="default" w:ascii="宋体" w:hAnsi="宋体" w:cs="宋体"/>
          <w:sz w:val="24"/>
          <w:szCs w:val="24"/>
          <w:highlight w:val="none"/>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4"/>
        <w:numPr>
          <w:ilvl w:val="0"/>
          <w:numId w:val="2"/>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4"/>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3"/>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3"/>
        <w:spacing w:line="360" w:lineRule="auto"/>
        <w:ind w:left="0" w:leftChars="0"/>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3"/>
        <w:spacing w:line="360" w:lineRule="auto"/>
        <w:ind w:left="0" w:leftChars="0"/>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8"/>
        <w:spacing w:line="360" w:lineRule="auto"/>
        <w:rPr>
          <w:rFonts w:ascii="楷体_GB2312" w:eastAsia="楷体_GB2312"/>
          <w:b/>
          <w:sz w:val="40"/>
          <w:szCs w:val="40"/>
          <w:highlight w:val="none"/>
        </w:rPr>
      </w:pPr>
    </w:p>
    <w:p>
      <w:pPr>
        <w:pStyle w:val="3"/>
        <w:spacing w:line="360" w:lineRule="auto"/>
        <w:rPr>
          <w:rFonts w:ascii="楷体_GB2312" w:eastAsia="楷体_GB2312"/>
          <w:b/>
          <w:sz w:val="40"/>
          <w:szCs w:val="40"/>
          <w:highlight w:val="none"/>
        </w:rPr>
      </w:pPr>
    </w:p>
    <w:p>
      <w:pPr>
        <w:pStyle w:val="8"/>
        <w:spacing w:line="360" w:lineRule="auto"/>
        <w:rPr>
          <w:rFonts w:ascii="楷体_GB2312" w:eastAsia="楷体_GB2312"/>
          <w:b/>
          <w:sz w:val="40"/>
          <w:szCs w:val="40"/>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6"/>
        <w:spacing w:line="360" w:lineRule="auto"/>
        <w:rPr>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4"/>
        <w:spacing w:line="360" w:lineRule="auto"/>
        <w:rPr>
          <w:highlight w:val="none"/>
        </w:rPr>
      </w:pPr>
    </w:p>
    <w:p>
      <w:pPr>
        <w:pStyle w:val="7"/>
        <w:keepNext w:val="0"/>
        <w:keepLines w:val="0"/>
        <w:spacing w:line="360" w:lineRule="auto"/>
        <w:rPr>
          <w:rFonts w:hint="default"/>
          <w:highlight w:val="none"/>
        </w:rPr>
      </w:pPr>
      <w:r>
        <w:rPr>
          <w:highlight w:val="none"/>
        </w:rPr>
        <w:t>1、报价一览表</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numPr>
          <w:ilvl w:val="0"/>
          <w:numId w:val="4"/>
        </w:numPr>
        <w:spacing w:line="360" w:lineRule="auto"/>
        <w:jc w:val="center"/>
        <w:rPr>
          <w:highlight w:val="none"/>
        </w:rPr>
      </w:pPr>
      <w:r>
        <w:rPr>
          <w:highlight w:val="none"/>
        </w:rPr>
        <w:br w:type="page"/>
      </w:r>
    </w:p>
    <w:p>
      <w:pPr>
        <w:pStyle w:val="7"/>
        <w:spacing w:line="360" w:lineRule="auto"/>
        <w:rPr>
          <w:rFonts w:hint="default"/>
          <w:highlight w:val="none"/>
        </w:rPr>
      </w:pPr>
      <w:r>
        <w:rPr>
          <w:highlight w:val="none"/>
        </w:rPr>
        <w:t>2、服务分项报价表（若有）</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bookmarkEnd w:id="2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9A06EBC"/>
    <w:rsid w:val="1ADE3486"/>
    <w:rsid w:val="1E2C09AB"/>
    <w:rsid w:val="1E897F61"/>
    <w:rsid w:val="27C42B43"/>
    <w:rsid w:val="3D6C7658"/>
    <w:rsid w:val="489259CA"/>
    <w:rsid w:val="4CE2174D"/>
    <w:rsid w:val="51497716"/>
    <w:rsid w:val="5B761B8D"/>
    <w:rsid w:val="74B30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0"/>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5"/>
    <w:qFormat/>
    <w:uiPriority w:val="0"/>
    <w:rPr>
      <w:rFonts w:ascii="Calibri" w:hAnsi="Calibri"/>
      <w:kern w:val="2"/>
      <w:sz w:val="18"/>
      <w:szCs w:val="18"/>
    </w:rPr>
  </w:style>
  <w:style w:type="character" w:customStyle="1" w:styleId="33">
    <w:name w:val="批注框文本 Char"/>
    <w:basedOn w:val="22"/>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83</TotalTime>
  <ScaleCrop>false</ScaleCrop>
  <LinksUpToDate>false</LinksUpToDate>
  <CharactersWithSpaces>25333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2023-10-08T02:07:43Z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5E505374CB7742FD8372462CD68A8E10_13</vt:lpwstr>
  </property>
</Properties>
</file>